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6346970" cy="105511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46970" cy="10551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PROJECT NAME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LOAN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 Loan Amount: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 Duration (term):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 Closing deadline: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 Reason for deadline: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LIEN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 Amount of existing first lien: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 Amount of other liens: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3. Current lienholder(s):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COLLATERAL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 Collateral Type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44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Investment Real Estate: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Residential, Multifamily, Office, Retail, Industrial, Mixed-Use, Hotel, Self-Storage, Mobile Home Parks. Medical, Senior Care Facilities, Golf Courses &amp; Marinas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44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Owner Occupied: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Office, Retail, Industrial, Mixed-Use, Hotel, Self-Storage, Automotive, Medical, Golf Course, Other Special Use Facilities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 Number of Units: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 Total Square Footage: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 Street Address: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 City: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6. State: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7.  Purchase Price and Purchase Date (if refi):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8. “As Is” Real Estate Value: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9. Date of “as is” appraisal/bpo: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10. Net Operating Income (NOI):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11. Capital Expenditures Since Purchase ($):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12. 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O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ccupancy (%):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GUARANTOR(S)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 Net Worth of Guarantor(s):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 Estimated liquid assets of Guarantor(s):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 FICO Score of Guarantor(s):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 Guarantor(s)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cash investment in collateral – current or proposed: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USE OF PROCEEDS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Please provide a concise description, a few sentences, on the Use Of Proceeds (i.e., discuss: acquisition, refinance, site improvement, tenant improvements, planning, design/permitting, carry costs and etc..).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jc w:val="left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EXIT STRATEGY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Please provide a concise description, a few sentences on the Exit Strategy (e.g. discuss prospective buyer, prospective permanent financing).   Alpha Funding will require a borrower that has thought through multiple &amp; viable exit strategies.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jc w:val="left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rtl w:val="0"/>
        </w:rPr>
        <w:t xml:space="preserve">OBSTACLES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jc w:val="left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Please disclose reasons other lenders have declined, how long you have been seeking financing, and anything you feel we should know.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jc w:val="left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jc w:val="left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134" w:top="1134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Trebuchet MS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